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12049">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2026年北京市车用燃油（车用汽油）产品质量监督抽查</w:t>
      </w:r>
    </w:p>
    <w:p w14:paraId="588A3853">
      <w:pPr>
        <w:widowControl w:val="0"/>
        <w:spacing w:after="0" w:line="440" w:lineRule="exact"/>
        <w:jc w:val="center"/>
        <w:rPr>
          <w:rFonts w:ascii="Times New Roman" w:hAnsi="Times New Roman" w:eastAsia="方正小标宋简体" w:cs="Times New Roman"/>
          <w:color w:val="000000"/>
          <w:kern w:val="2"/>
          <w:sz w:val="32"/>
          <w:szCs w:val="32"/>
          <w:lang w:eastAsia="zh-CN"/>
        </w:rPr>
      </w:pPr>
      <w:r>
        <w:rPr>
          <w:rFonts w:ascii="Times New Roman" w:hAnsi="Times New Roman" w:eastAsia="方正小标宋简体" w:cs="Times New Roman"/>
          <w:color w:val="000000"/>
          <w:kern w:val="2"/>
          <w:sz w:val="32"/>
          <w:szCs w:val="32"/>
          <w:lang w:eastAsia="zh-CN"/>
        </w:rPr>
        <w:t>实施细则</w:t>
      </w:r>
    </w:p>
    <w:p w14:paraId="3D1437D5">
      <w:pPr>
        <w:spacing w:line="240" w:lineRule="auto"/>
      </w:pPr>
    </w:p>
    <w:p w14:paraId="4CF32974">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1 抽样方法</w:t>
      </w:r>
    </w:p>
    <w:p w14:paraId="2BB4226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以随机抽样的方式在被抽样生产者、销售者的待销产品中抽取。</w:t>
      </w:r>
    </w:p>
    <w:p w14:paraId="358E894C">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随机数一般可使用随机数表等方法产生。</w:t>
      </w:r>
      <w:bookmarkStart w:id="0" w:name="_GoBack"/>
      <w:bookmarkEnd w:id="0"/>
    </w:p>
    <w:p w14:paraId="463BD102">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对于从成品罐中抽样时要求成品罐中液位至少1m以上。取样方法按照GB/T 4756—2015《石油液体手工取样法》。成品罐中的点样最小规定数应符合下表规定。</w:t>
      </w:r>
      <w:r>
        <w:rPr>
          <w:rFonts w:hint="eastAsia" w:ascii="Times New Roman" w:hAnsi="Times New Roman" w:eastAsia="宋体" w:cs="Times New Roman"/>
          <w:color w:val="000000"/>
          <w:kern w:val="2"/>
          <w:sz w:val="21"/>
          <w:szCs w:val="21"/>
          <w:lang w:eastAsia="zh-CN"/>
        </w:rPr>
        <w:t>样品总量不小于4L</w:t>
      </w:r>
      <w:r>
        <w:rPr>
          <w:rFonts w:ascii="Times New Roman" w:hAnsi="Times New Roman" w:eastAsia="宋体" w:cs="Times New Roman"/>
          <w:color w:val="000000"/>
          <w:kern w:val="2"/>
          <w:sz w:val="21"/>
          <w:szCs w:val="21"/>
          <w:lang w:eastAsia="zh-CN"/>
        </w:rPr>
        <w:t>，其中3L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检验用样品，</w:t>
      </w:r>
      <w:r>
        <w:rPr>
          <w:rFonts w:hint="eastAsia" w:ascii="Times New Roman" w:hAnsi="Times New Roman" w:eastAsia="宋体" w:cs="Times New Roman"/>
          <w:color w:val="000000"/>
          <w:kern w:val="2"/>
          <w:sz w:val="21"/>
          <w:szCs w:val="21"/>
          <w:lang w:val="en-US" w:eastAsia="zh-CN"/>
        </w:rPr>
        <w:t>另</w:t>
      </w:r>
      <w:r>
        <w:rPr>
          <w:rFonts w:ascii="Times New Roman" w:hAnsi="Times New Roman" w:eastAsia="宋体" w:cs="Times New Roman"/>
          <w:color w:val="000000"/>
          <w:kern w:val="2"/>
          <w:sz w:val="21"/>
          <w:szCs w:val="21"/>
          <w:lang w:eastAsia="zh-CN"/>
        </w:rPr>
        <w:t>1L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备用样品，分别盛装在两个容器中。</w:t>
      </w:r>
    </w:p>
    <w:p w14:paraId="3A300665">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点样最小规定数</w:t>
      </w:r>
    </w:p>
    <w:tbl>
      <w:tblPr>
        <w:tblStyle w:val="3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98"/>
        <w:gridCol w:w="1718"/>
        <w:gridCol w:w="1718"/>
        <w:gridCol w:w="1718"/>
      </w:tblGrid>
      <w:tr w14:paraId="6A47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blHeader/>
          <w:jc w:val="center"/>
        </w:trPr>
        <w:tc>
          <w:tcPr>
            <w:tcW w:w="2088" w:type="pct"/>
            <w:noWrap w:val="0"/>
            <w:tcMar>
              <w:top w:w="-1" w:type="dxa"/>
              <w:left w:w="-1" w:type="dxa"/>
              <w:bottom w:w="-1" w:type="dxa"/>
              <w:right w:w="-1" w:type="dxa"/>
            </w:tcMar>
            <w:vAlign w:val="center"/>
          </w:tcPr>
          <w:p w14:paraId="122AA8AE">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液位（H）</w:t>
            </w:r>
          </w:p>
        </w:tc>
        <w:tc>
          <w:tcPr>
            <w:tcW w:w="970" w:type="pct"/>
            <w:noWrap w:val="0"/>
            <w:tcMar>
              <w:top w:w="-1" w:type="dxa"/>
              <w:left w:w="-1" w:type="dxa"/>
              <w:bottom w:w="-1" w:type="dxa"/>
              <w:right w:w="-1" w:type="dxa"/>
            </w:tcMar>
            <w:vAlign w:val="center"/>
          </w:tcPr>
          <w:p w14:paraId="40E7049A">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上部</w:t>
            </w:r>
          </w:p>
        </w:tc>
        <w:tc>
          <w:tcPr>
            <w:tcW w:w="970" w:type="pct"/>
            <w:noWrap w:val="0"/>
            <w:tcMar>
              <w:top w:w="-1" w:type="dxa"/>
              <w:left w:w="-1" w:type="dxa"/>
              <w:bottom w:w="-1" w:type="dxa"/>
              <w:right w:w="-1" w:type="dxa"/>
            </w:tcMar>
            <w:vAlign w:val="center"/>
          </w:tcPr>
          <w:p w14:paraId="470CD02D">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中部</w:t>
            </w:r>
          </w:p>
        </w:tc>
        <w:tc>
          <w:tcPr>
            <w:tcW w:w="970" w:type="pct"/>
            <w:noWrap w:val="0"/>
            <w:tcMar>
              <w:top w:w="-1" w:type="dxa"/>
              <w:left w:w="-1" w:type="dxa"/>
              <w:bottom w:w="-1" w:type="dxa"/>
              <w:right w:w="-1" w:type="dxa"/>
            </w:tcMar>
            <w:vAlign w:val="center"/>
          </w:tcPr>
          <w:p w14:paraId="42274553">
            <w:pPr>
              <w:snapToGrid w:val="0"/>
              <w:spacing w:after="0" w:line="240" w:lineRule="auto"/>
              <w:ind w:left="0" w:leftChars="0" w:right="0" w:rightChars="0" w:firstLine="0" w:firstLineChars="0"/>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下部</w:t>
            </w:r>
          </w:p>
        </w:tc>
      </w:tr>
      <w:tr w14:paraId="6D8D6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8" w:type="pct"/>
            <w:noWrap w:val="0"/>
            <w:tcMar>
              <w:top w:w="-1" w:type="dxa"/>
              <w:left w:w="-1" w:type="dxa"/>
              <w:bottom w:w="-1" w:type="dxa"/>
              <w:right w:w="-1" w:type="dxa"/>
            </w:tcMar>
            <w:vAlign w:val="center"/>
          </w:tcPr>
          <w:p w14:paraId="6A27D8AE">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1m＜H≤3m</w:t>
            </w:r>
          </w:p>
        </w:tc>
        <w:tc>
          <w:tcPr>
            <w:tcW w:w="970" w:type="pct"/>
            <w:noWrap w:val="0"/>
            <w:tcMar>
              <w:top w:w="-1" w:type="dxa"/>
              <w:left w:w="-1" w:type="dxa"/>
              <w:bottom w:w="-1" w:type="dxa"/>
              <w:right w:w="-1" w:type="dxa"/>
            </w:tcMar>
            <w:vAlign w:val="center"/>
          </w:tcPr>
          <w:p w14:paraId="20E2FF19">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c>
          <w:tcPr>
            <w:tcW w:w="970" w:type="pct"/>
            <w:noWrap w:val="0"/>
            <w:tcMar>
              <w:top w:w="-1" w:type="dxa"/>
              <w:left w:w="-1" w:type="dxa"/>
              <w:bottom w:w="-1" w:type="dxa"/>
              <w:right w:w="-1" w:type="dxa"/>
            </w:tcMar>
            <w:vAlign w:val="center"/>
          </w:tcPr>
          <w:p w14:paraId="310495BE">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25779239">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r>
      <w:tr w14:paraId="29A5A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8" w:type="pct"/>
            <w:noWrap w:val="0"/>
            <w:tcMar>
              <w:top w:w="-1" w:type="dxa"/>
              <w:left w:w="-1" w:type="dxa"/>
              <w:bottom w:w="-1" w:type="dxa"/>
              <w:right w:w="-1" w:type="dxa"/>
            </w:tcMar>
            <w:vAlign w:val="center"/>
          </w:tcPr>
          <w:p w14:paraId="4DDF7744">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3m＜H≤4.5m</w:t>
            </w:r>
          </w:p>
        </w:tc>
        <w:tc>
          <w:tcPr>
            <w:tcW w:w="970" w:type="pct"/>
            <w:noWrap w:val="0"/>
            <w:tcMar>
              <w:top w:w="-1" w:type="dxa"/>
              <w:left w:w="-1" w:type="dxa"/>
              <w:bottom w:w="-1" w:type="dxa"/>
              <w:right w:w="-1" w:type="dxa"/>
            </w:tcMar>
            <w:vAlign w:val="center"/>
          </w:tcPr>
          <w:p w14:paraId="516443D2">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24DB7F2C">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p>
        </w:tc>
        <w:tc>
          <w:tcPr>
            <w:tcW w:w="970" w:type="pct"/>
            <w:noWrap w:val="0"/>
            <w:tcMar>
              <w:top w:w="-1" w:type="dxa"/>
              <w:left w:w="-1" w:type="dxa"/>
              <w:bottom w:w="-1" w:type="dxa"/>
              <w:right w:w="-1" w:type="dxa"/>
            </w:tcMar>
            <w:vAlign w:val="center"/>
          </w:tcPr>
          <w:p w14:paraId="49037C3A">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r>
      <w:tr w14:paraId="5F2F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088" w:type="pct"/>
            <w:noWrap w:val="0"/>
            <w:tcMar>
              <w:top w:w="-1" w:type="dxa"/>
              <w:left w:w="-1" w:type="dxa"/>
              <w:bottom w:w="-1" w:type="dxa"/>
              <w:right w:w="-1" w:type="dxa"/>
            </w:tcMar>
            <w:vAlign w:val="center"/>
          </w:tcPr>
          <w:p w14:paraId="40C50784">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H＞4.5m</w:t>
            </w:r>
          </w:p>
        </w:tc>
        <w:tc>
          <w:tcPr>
            <w:tcW w:w="970" w:type="pct"/>
            <w:noWrap w:val="0"/>
            <w:tcMar>
              <w:top w:w="-1" w:type="dxa"/>
              <w:left w:w="-1" w:type="dxa"/>
              <w:bottom w:w="-1" w:type="dxa"/>
              <w:right w:w="-1" w:type="dxa"/>
            </w:tcMar>
            <w:vAlign w:val="center"/>
          </w:tcPr>
          <w:p w14:paraId="1B5BEAE9">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1EE8BC8F">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c>
          <w:tcPr>
            <w:tcW w:w="970" w:type="pct"/>
            <w:noWrap w:val="0"/>
            <w:tcMar>
              <w:top w:w="-1" w:type="dxa"/>
              <w:left w:w="-1" w:type="dxa"/>
              <w:bottom w:w="-1" w:type="dxa"/>
              <w:right w:w="-1" w:type="dxa"/>
            </w:tcMar>
            <w:vAlign w:val="center"/>
          </w:tcPr>
          <w:p w14:paraId="39AA0342">
            <w:pPr>
              <w:snapToGrid w:val="0"/>
              <w:spacing w:after="0" w:line="240" w:lineRule="auto"/>
              <w:ind w:left="0" w:leftChars="0" w:right="0" w:righ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b w:val="0"/>
                <w:sz w:val="21"/>
                <w:szCs w:val="21"/>
              </w:rPr>
              <w:t>●</w:t>
            </w:r>
          </w:p>
        </w:tc>
      </w:tr>
    </w:tbl>
    <w:p w14:paraId="47ACD22A">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其中●代表取样位置。</w:t>
      </w:r>
    </w:p>
    <w:p w14:paraId="555463AC">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对于从加油枪取样时</w:t>
      </w:r>
      <w:r>
        <w:rPr>
          <w:rFonts w:hint="eastAsia" w:ascii="Times New Roman" w:hAnsi="Times New Roman" w:eastAsia="宋体" w:cs="Times New Roman"/>
          <w:color w:val="000000"/>
          <w:kern w:val="2"/>
          <w:sz w:val="21"/>
          <w:szCs w:val="21"/>
          <w:lang w:eastAsia="zh-CN"/>
        </w:rPr>
        <w:t>，</w:t>
      </w:r>
      <w:r>
        <w:rPr>
          <w:rFonts w:ascii="Times New Roman" w:hAnsi="Times New Roman" w:eastAsia="宋体" w:cs="Times New Roman"/>
          <w:color w:val="000000"/>
          <w:kern w:val="2"/>
          <w:sz w:val="21"/>
          <w:szCs w:val="21"/>
          <w:lang w:eastAsia="zh-CN"/>
        </w:rPr>
        <w:t>随机确定加油机</w:t>
      </w:r>
      <w:r>
        <w:rPr>
          <w:rFonts w:hint="eastAsia" w:ascii="Times New Roman" w:hAnsi="Times New Roman" w:eastAsia="宋体" w:cs="Times New Roman"/>
          <w:color w:val="000000"/>
          <w:kern w:val="2"/>
          <w:sz w:val="21"/>
          <w:szCs w:val="21"/>
          <w:lang w:eastAsia="zh-CN"/>
        </w:rPr>
        <w:t>、</w:t>
      </w:r>
      <w:r>
        <w:rPr>
          <w:rFonts w:ascii="Times New Roman" w:hAnsi="Times New Roman" w:eastAsia="宋体" w:cs="Times New Roman"/>
          <w:color w:val="000000"/>
          <w:kern w:val="2"/>
          <w:sz w:val="21"/>
          <w:szCs w:val="21"/>
          <w:lang w:eastAsia="zh-CN"/>
        </w:rPr>
        <w:t>加油枪。</w:t>
      </w:r>
      <w:r>
        <w:rPr>
          <w:rFonts w:hint="eastAsia" w:ascii="Times New Roman" w:hAnsi="Times New Roman" w:eastAsia="宋体" w:cs="Times New Roman"/>
          <w:color w:val="000000"/>
          <w:kern w:val="2"/>
          <w:sz w:val="21"/>
          <w:szCs w:val="21"/>
          <w:lang w:eastAsia="zh-CN"/>
        </w:rPr>
        <w:t>抽取样品前，应通过该加油枪将至少4L油品放入一合适容器内以润洗管线；样品</w:t>
      </w:r>
      <w:r>
        <w:rPr>
          <w:rFonts w:hint="eastAsia" w:ascii="Times New Roman" w:hAnsi="Times New Roman" w:eastAsia="宋体" w:cs="Times New Roman"/>
          <w:color w:val="000000"/>
          <w:kern w:val="2"/>
          <w:sz w:val="21"/>
          <w:szCs w:val="21"/>
          <w:lang w:val="en-US" w:eastAsia="zh-CN"/>
        </w:rPr>
        <w:t>抽</w:t>
      </w:r>
      <w:r>
        <w:rPr>
          <w:rFonts w:hint="eastAsia" w:ascii="Times New Roman" w:hAnsi="Times New Roman" w:eastAsia="宋体" w:cs="Times New Roman"/>
          <w:color w:val="000000"/>
          <w:kern w:val="2"/>
          <w:sz w:val="21"/>
          <w:szCs w:val="21"/>
          <w:lang w:eastAsia="zh-CN"/>
        </w:rPr>
        <w:t>取不少于2个独立包装，总量不小于4L，</w:t>
      </w:r>
      <w:r>
        <w:rPr>
          <w:rFonts w:ascii="Times New Roman" w:hAnsi="Times New Roman" w:eastAsia="宋体" w:cs="Times New Roman"/>
          <w:color w:val="000000"/>
          <w:kern w:val="2"/>
          <w:sz w:val="21"/>
          <w:szCs w:val="21"/>
          <w:lang w:eastAsia="zh-CN"/>
        </w:rPr>
        <w:t>其中3L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检验用样品，</w:t>
      </w:r>
      <w:r>
        <w:rPr>
          <w:rFonts w:hint="eastAsia" w:ascii="Times New Roman" w:hAnsi="Times New Roman" w:eastAsia="宋体" w:cs="Times New Roman"/>
          <w:color w:val="000000"/>
          <w:kern w:val="2"/>
          <w:sz w:val="21"/>
          <w:szCs w:val="21"/>
          <w:lang w:val="en-US" w:eastAsia="zh-CN"/>
        </w:rPr>
        <w:t>另</w:t>
      </w:r>
      <w:r>
        <w:rPr>
          <w:rFonts w:ascii="Times New Roman" w:hAnsi="Times New Roman" w:eastAsia="宋体" w:cs="Times New Roman"/>
          <w:color w:val="000000"/>
          <w:kern w:val="2"/>
          <w:sz w:val="21"/>
          <w:szCs w:val="21"/>
          <w:lang w:eastAsia="zh-CN"/>
        </w:rPr>
        <w:t>1L</w:t>
      </w:r>
      <w:r>
        <w:rPr>
          <w:rFonts w:hint="eastAsia" w:ascii="Times New Roman" w:hAnsi="Times New Roman" w:eastAsia="宋体" w:cs="Times New Roman"/>
          <w:color w:val="000000"/>
          <w:kern w:val="2"/>
          <w:sz w:val="21"/>
          <w:szCs w:val="21"/>
          <w:lang w:val="en-US" w:eastAsia="zh-CN"/>
        </w:rPr>
        <w:t>为</w:t>
      </w:r>
      <w:r>
        <w:rPr>
          <w:rFonts w:ascii="Times New Roman" w:hAnsi="Times New Roman" w:eastAsia="宋体" w:cs="Times New Roman"/>
          <w:color w:val="000000"/>
          <w:kern w:val="2"/>
          <w:sz w:val="21"/>
          <w:szCs w:val="21"/>
          <w:lang w:eastAsia="zh-CN"/>
        </w:rPr>
        <w:t>备用样品，分别盛装在两个容器中。</w:t>
      </w:r>
    </w:p>
    <w:p w14:paraId="01B75DE3">
      <w:pPr>
        <w:widowControl w:val="0"/>
        <w:spacing w:after="0" w:line="240" w:lineRule="auto"/>
        <w:ind w:firstLine="420" w:firstLineChars="200"/>
        <w:jc w:val="both"/>
        <w:rPr>
          <w:rFonts w:hint="eastAsia" w:ascii="Times New Roman" w:hAnsi="Times New Roman" w:eastAsia="宋体" w:cs="Times New Roman"/>
          <w:color w:val="000000"/>
          <w:kern w:val="2"/>
          <w:sz w:val="21"/>
          <w:szCs w:val="21"/>
          <w:lang w:eastAsia="zh-CN"/>
        </w:rPr>
      </w:pPr>
    </w:p>
    <w:p w14:paraId="66616EC3">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2 检验依据</w:t>
      </w:r>
    </w:p>
    <w:tbl>
      <w:tblPr>
        <w:tblStyle w:val="33"/>
        <w:tblW w:w="88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2816"/>
        <w:gridCol w:w="2085"/>
        <w:gridCol w:w="3202"/>
      </w:tblGrid>
      <w:tr w14:paraId="34211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blHeader/>
          <w:jc w:val="center"/>
        </w:trPr>
        <w:tc>
          <w:tcPr>
            <w:tcW w:w="0" w:type="auto"/>
            <w:noWrap w:val="0"/>
            <w:tcMar>
              <w:top w:w="-1" w:type="dxa"/>
              <w:left w:w="-1" w:type="dxa"/>
              <w:bottom w:w="-1" w:type="dxa"/>
              <w:right w:w="-1" w:type="dxa"/>
            </w:tcMar>
            <w:vAlign w:val="center"/>
          </w:tcPr>
          <w:p w14:paraId="774C4A3F">
            <w:pPr>
              <w:keepNext w:val="0"/>
              <w:widowControl w:val="0"/>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序号</w:t>
            </w:r>
          </w:p>
        </w:tc>
        <w:tc>
          <w:tcPr>
            <w:tcW w:w="0" w:type="auto"/>
            <w:noWrap w:val="0"/>
            <w:tcMar>
              <w:top w:w="-1" w:type="dxa"/>
              <w:left w:w="-1" w:type="dxa"/>
              <w:bottom w:w="-1" w:type="dxa"/>
              <w:right w:w="-1" w:type="dxa"/>
            </w:tcMar>
            <w:vAlign w:val="center"/>
          </w:tcPr>
          <w:p w14:paraId="14C96CA0">
            <w:pPr>
              <w:keepNext w:val="0"/>
              <w:widowControl w:val="0"/>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检验项目</w:t>
            </w:r>
          </w:p>
        </w:tc>
        <w:tc>
          <w:tcPr>
            <w:tcW w:w="0" w:type="auto"/>
            <w:noWrap w:val="0"/>
            <w:tcMar>
              <w:top w:w="-1" w:type="dxa"/>
              <w:left w:w="-1" w:type="dxa"/>
              <w:bottom w:w="-1" w:type="dxa"/>
              <w:right w:w="-1" w:type="dxa"/>
            </w:tcMar>
            <w:vAlign w:val="center"/>
          </w:tcPr>
          <w:p w14:paraId="31425854">
            <w:pPr>
              <w:keepNext w:val="0"/>
              <w:widowControl w:val="0"/>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检验依据</w:t>
            </w:r>
          </w:p>
        </w:tc>
        <w:tc>
          <w:tcPr>
            <w:tcW w:w="2724" w:type="dxa"/>
            <w:noWrap w:val="0"/>
            <w:tcMar>
              <w:top w:w="-1" w:type="dxa"/>
              <w:left w:w="-1" w:type="dxa"/>
              <w:bottom w:w="-1" w:type="dxa"/>
              <w:right w:w="-1" w:type="dxa"/>
            </w:tcMar>
            <w:vAlign w:val="center"/>
          </w:tcPr>
          <w:p w14:paraId="694D752D">
            <w:pPr>
              <w:keepNext w:val="0"/>
              <w:widowControl w:val="0"/>
              <w:snapToGrid w:val="0"/>
              <w:spacing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检验方法</w:t>
            </w:r>
          </w:p>
        </w:tc>
      </w:tr>
      <w:tr w14:paraId="10376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3E01B4">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FA35948">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研究法辛烷值(RON)</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7EE7D3">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38B8170">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5487—2015</w:t>
            </w:r>
          </w:p>
        </w:tc>
      </w:tr>
      <w:tr w14:paraId="1B06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EA11E79">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2</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46ED82">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馏程</w:t>
            </w:r>
            <w:r>
              <w:rPr>
                <w:rFonts w:hint="eastAsia" w:ascii="仿宋_GB2312" w:hAnsi="仿宋_GB2312" w:eastAsia="仿宋_GB2312" w:cs="仿宋_GB2312"/>
                <w:sz w:val="32"/>
                <w:szCs w:val="32"/>
                <w:vertAlign w:val="superscript"/>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DC7AFF5">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9B001F0">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6536—2010</w:t>
            </w:r>
          </w:p>
        </w:tc>
      </w:tr>
      <w:tr w14:paraId="1C7C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9D45774">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3</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A1AA44C">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溶剂洗胶质含量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6FB8AFB">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89CB5D">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8019—2025</w:t>
            </w:r>
          </w:p>
        </w:tc>
      </w:tr>
      <w:tr w14:paraId="23EB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11BBC9B">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4</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CB6B51D">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硫含量</w:t>
            </w:r>
            <w:r>
              <w:rPr>
                <w:rFonts w:hint="eastAsia" w:ascii="仿宋_GB2312" w:hAnsi="仿宋_GB2312" w:eastAsia="仿宋_GB2312" w:cs="仿宋_GB2312"/>
                <w:sz w:val="32"/>
                <w:szCs w:val="32"/>
                <w:vertAlign w:val="superscript"/>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846A9CB">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1A50DB4">
            <w:pPr>
              <w:keepNext w:val="0"/>
              <w:widowControl w:val="0"/>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34100—2017</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0689—2000</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11140—2008</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0842—2017</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0253—2021</w:t>
            </w:r>
          </w:p>
        </w:tc>
      </w:tr>
      <w:tr w14:paraId="05F37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05F2E50">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5</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B8F79F5">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lang w:val="en-US" w:eastAsia="zh-CN"/>
              </w:rPr>
            </w:pPr>
            <w:r>
              <w:rPr>
                <w:rFonts w:hint="default" w:ascii="Times New Roman" w:hAnsi="Times New Roman" w:eastAsia="宋体" w:cs="Times New Roman"/>
                <w:b w:val="0"/>
                <w:bCs/>
                <w:sz w:val="21"/>
                <w:szCs w:val="21"/>
              </w:rPr>
              <w:t>密度（20℃）</w:t>
            </w:r>
            <w:r>
              <w:rPr>
                <w:rFonts w:hint="eastAsia" w:ascii="仿宋_GB2312" w:hAnsi="仿宋_GB2312" w:eastAsia="仿宋_GB2312" w:cs="仿宋_GB2312"/>
                <w:sz w:val="32"/>
                <w:szCs w:val="32"/>
                <w:vertAlign w:val="superscript"/>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445F27E">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3945E65">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1884—2000</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1885—1998</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0604—2000</w:t>
            </w:r>
          </w:p>
        </w:tc>
      </w:tr>
      <w:tr w14:paraId="6B084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D703652">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6</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5EDA9EA">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甲醇含量（质量分数）</w:t>
            </w:r>
            <w:r>
              <w:rPr>
                <w:rFonts w:hint="eastAsia" w:ascii="仿宋_GB2312" w:hAnsi="仿宋_GB2312" w:eastAsia="仿宋_GB2312" w:cs="仿宋_GB2312"/>
                <w:sz w:val="32"/>
                <w:szCs w:val="32"/>
                <w:vertAlign w:val="superscript"/>
                <w:lang w:val="en-US" w:eastAsia="zh-CN"/>
              </w:rPr>
              <w:t>#</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DA89549">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CD601A9">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0663—2014</w:t>
            </w:r>
          </w:p>
        </w:tc>
      </w:tr>
      <w:tr w14:paraId="4E7E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36B6BC2F">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7</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FA9566">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苯含量（体积分数）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A31B6C0">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98F2830">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NB/SH/T 0713—2023</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28768—2012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30519—2024</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SH/T 0693—2000</w:t>
            </w:r>
          </w:p>
        </w:tc>
      </w:tr>
      <w:tr w14:paraId="685F5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84E8820">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8</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16ABF9">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烯烃含量（体积分数）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29B731F">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1B53E29">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30519—2024</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11132—2022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28768—2012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0741—2010</w:t>
            </w:r>
          </w:p>
        </w:tc>
      </w:tr>
      <w:tr w14:paraId="7F434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0DD37BD">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9</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24976666">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芳烃含量（体积分数）</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C9308A9">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 17930—2016</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5754353C">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30519—2024</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11132—2022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GB/T 28768—2012</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NB/SH/T 0741—2010</w:t>
            </w:r>
          </w:p>
        </w:tc>
      </w:tr>
      <w:tr w14:paraId="3DCC7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DFD5178">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10</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124018C">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氯含量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F76C725">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60956B00">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SH/T 1147—2025</w:t>
            </w:r>
          </w:p>
        </w:tc>
      </w:tr>
      <w:tr w14:paraId="2BB54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7A879594">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11</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072C81AA">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硅含量</w:t>
            </w:r>
          </w:p>
        </w:tc>
        <w:tc>
          <w:tcPr>
            <w:tcW w:w="0" w:type="auto"/>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10866938">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DB11/ 238—2021</w:t>
            </w:r>
          </w:p>
        </w:tc>
        <w:tc>
          <w:tcPr>
            <w:tcW w:w="2724" w:type="dxa"/>
            <w:tcBorders>
              <w:top w:val="single" w:color="000000" w:sz="4" w:space="0"/>
              <w:left w:val="single" w:color="000000" w:sz="4" w:space="0"/>
              <w:bottom w:val="single" w:color="000000" w:sz="4" w:space="0"/>
              <w:right w:val="single" w:color="000000" w:sz="4" w:space="0"/>
            </w:tcBorders>
            <w:noWrap w:val="0"/>
            <w:tcMar>
              <w:top w:w="-1" w:type="dxa"/>
              <w:left w:w="-1" w:type="dxa"/>
              <w:bottom w:w="-1" w:type="dxa"/>
              <w:right w:w="-1" w:type="dxa"/>
            </w:tcMar>
            <w:vAlign w:val="center"/>
          </w:tcPr>
          <w:p w14:paraId="4DDAC06E">
            <w:pPr>
              <w:keepNext/>
              <w:snapToGrid w:val="0"/>
              <w:spacing w:before="0" w:after="0" w:line="240" w:lineRule="auto"/>
              <w:ind w:left="0" w:leftChars="0" w:right="0" w:rightChars="0" w:firstLine="0" w:firstLineChars="0"/>
              <w:jc w:val="center"/>
              <w:rPr>
                <w:rFonts w:hint="default" w:ascii="Times New Roman" w:hAnsi="Times New Roman" w:eastAsia="宋体" w:cs="Times New Roman"/>
                <w:b w:val="0"/>
                <w:bCs/>
                <w:sz w:val="21"/>
                <w:szCs w:val="21"/>
              </w:rPr>
            </w:pPr>
            <w:r>
              <w:rPr>
                <w:rFonts w:hint="default" w:ascii="Times New Roman" w:hAnsi="Times New Roman" w:eastAsia="宋体" w:cs="Times New Roman"/>
                <w:b w:val="0"/>
                <w:bCs/>
                <w:sz w:val="21"/>
                <w:szCs w:val="21"/>
              </w:rPr>
              <w:t>GB/T 33647—2017</w:t>
            </w:r>
          </w:p>
        </w:tc>
      </w:tr>
      <w:tr w14:paraId="7655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8851" w:type="dxa"/>
            <w:gridSpan w:val="4"/>
            <w:noWrap w:val="0"/>
            <w:tcMar>
              <w:top w:w="-1" w:type="dxa"/>
              <w:left w:w="-1" w:type="dxa"/>
              <w:bottom w:w="-1" w:type="dxa"/>
              <w:right w:w="-1" w:type="dxa"/>
            </w:tcMar>
            <w:vAlign w:val="center"/>
          </w:tcPr>
          <w:p w14:paraId="6EFA8FA8">
            <w:pPr>
              <w:keepNext/>
              <w:snapToGrid w:val="0"/>
              <w:spacing w:after="0" w:line="240" w:lineRule="auto"/>
              <w:ind w:left="0" w:leftChars="0" w:right="0" w:rightChars="0" w:firstLine="0" w:firstLineChars="0"/>
              <w:jc w:val="left"/>
              <w:rPr>
                <w:rFonts w:hint="default" w:ascii="Times New Roman" w:hAnsi="Times New Roman" w:cs="Times New Roman"/>
                <w:b w:val="0"/>
                <w:bCs/>
                <w:sz w:val="21"/>
                <w:szCs w:val="21"/>
              </w:rPr>
            </w:pPr>
            <w:r>
              <w:rPr>
                <w:rFonts w:hint="default" w:ascii="Times New Roman" w:hAnsi="Times New Roman" w:eastAsia="宋体" w:cs="Times New Roman"/>
                <w:b w:val="0"/>
                <w:bCs/>
                <w:sz w:val="21"/>
                <w:szCs w:val="21"/>
              </w:rPr>
              <w:t>注：氯含量、硅含量为☆项。#项为快筛项目，根据实际需要实施</w:t>
            </w:r>
            <w:r>
              <w:rPr>
                <w:rFonts w:hint="default" w:ascii="Times New Roman" w:hAnsi="Times New Roman" w:eastAsia="宋体" w:cs="Times New Roman"/>
                <w:b w:val="0"/>
                <w:bCs/>
                <w:sz w:val="21"/>
                <w:szCs w:val="21"/>
              </w:rPr>
              <w:br w:type="textWrapping"/>
            </w:r>
            <w:r>
              <w:rPr>
                <w:rFonts w:hint="default" w:ascii="Times New Roman" w:hAnsi="Times New Roman" w:eastAsia="宋体" w:cs="Times New Roman"/>
                <w:b w:val="0"/>
                <w:bCs/>
                <w:sz w:val="21"/>
                <w:szCs w:val="21"/>
              </w:rPr>
              <w:t>"☆"：根据实际需要，可定期或分地区抽检。</w:t>
            </w:r>
          </w:p>
        </w:tc>
      </w:tr>
    </w:tbl>
    <w:p w14:paraId="3BCBB366">
      <w:pPr>
        <w:spacing w:line="240" w:lineRule="auto"/>
        <w:rPr>
          <w:sz w:val="21"/>
          <w:szCs w:val="21"/>
        </w:rPr>
      </w:pPr>
    </w:p>
    <w:p w14:paraId="309A93DB">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执行企业标准、团体标准、地方标准的产品，检验项目参照上述内容执行。</w:t>
      </w:r>
    </w:p>
    <w:p w14:paraId="0A8B86B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凡是注日期的文件，其随后所有的修改单（不包括勘误的内容）或修订版不适用于本细则。凡是不注日期的文件，其最新版本适用于本细则。</w:t>
      </w:r>
    </w:p>
    <w:p w14:paraId="53D00C6A">
      <w:pPr>
        <w:widowControl w:val="0"/>
        <w:spacing w:after="0" w:line="240" w:lineRule="auto"/>
        <w:ind w:firstLine="420" w:firstLineChars="200"/>
        <w:jc w:val="both"/>
        <w:rPr>
          <w:rFonts w:ascii="Times New Roman" w:hAnsi="Times New Roman" w:eastAsia="宋体" w:cs="Times New Roman"/>
          <w:color w:val="000000"/>
          <w:kern w:val="2"/>
          <w:sz w:val="21"/>
          <w:szCs w:val="21"/>
          <w:lang w:eastAsia="zh-CN"/>
        </w:rPr>
      </w:pPr>
    </w:p>
    <w:p w14:paraId="07F26323">
      <w:pPr>
        <w:widowControl w:val="0"/>
        <w:spacing w:after="0" w:line="440" w:lineRule="exact"/>
        <w:jc w:val="both"/>
        <w:rPr>
          <w:rFonts w:ascii="Times New Roman" w:hAnsi="Times New Roman" w:eastAsia="黑体" w:cs="Times New Roman"/>
          <w:color w:val="000000"/>
          <w:kern w:val="2"/>
          <w:sz w:val="21"/>
          <w:szCs w:val="21"/>
          <w:lang w:eastAsia="zh-CN"/>
        </w:rPr>
      </w:pPr>
      <w:r>
        <w:rPr>
          <w:rFonts w:ascii="Times New Roman" w:hAnsi="Times New Roman" w:eastAsia="黑体" w:cs="Times New Roman"/>
          <w:color w:val="000000"/>
          <w:kern w:val="2"/>
          <w:sz w:val="21"/>
          <w:szCs w:val="21"/>
          <w:lang w:eastAsia="zh-CN"/>
        </w:rPr>
        <w:t>3 判定规则</w:t>
      </w:r>
    </w:p>
    <w:p w14:paraId="42D016AE">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3.1 依据标准</w:t>
      </w:r>
    </w:p>
    <w:p w14:paraId="7395AC13">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GB 17930—2016 车用汽油</w:t>
      </w:r>
    </w:p>
    <w:p w14:paraId="48C59A7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DB11/ 238—2021 车用汽油环保技术要求</w:t>
      </w:r>
    </w:p>
    <w:p w14:paraId="3ED153E7">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现行有效的企业标准、团体标准、地方标准及产品明示质量要求</w:t>
      </w:r>
    </w:p>
    <w:p w14:paraId="77E2CED1">
      <w:pPr>
        <w:widowControl w:val="0"/>
        <w:spacing w:after="0" w:line="440" w:lineRule="exact"/>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3.2 判定原则</w:t>
      </w:r>
    </w:p>
    <w:p w14:paraId="207EB27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经检验，检验项目全部合格，判定为被抽查产品所检项目未发现不合格；检验项目中任一项或一项以上不合格，判定为被抽查产品不合格。</w:t>
      </w:r>
    </w:p>
    <w:p w14:paraId="18CF6DDF">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若被检产品明示的质量要求高于本细则中检验项目依据的标准要求时，应按被检产品明示的质量要求判定。</w:t>
      </w:r>
    </w:p>
    <w:p w14:paraId="6BBEF195">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若被检产品明示的质量要求低于本细则中检验项目依据的强制性标准要求时，应按照强制性标准要求判定。</w:t>
      </w:r>
    </w:p>
    <w:p w14:paraId="2F5DAF86">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若被检产品明示的质量要求低于或包含本细则中检验项目依据的推荐性标准要求时，应以被检产品明示的质量要求判定。</w:t>
      </w:r>
    </w:p>
    <w:p w14:paraId="72F2FE5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若被检产品明示的质量要求缺少本细则中检验项目依据的强制性标准要求时，应按照强制性标准要求判定。</w:t>
      </w:r>
    </w:p>
    <w:p w14:paraId="2E1502DD">
      <w:pPr>
        <w:widowControl w:val="0"/>
        <w:spacing w:after="0" w:line="440" w:lineRule="exact"/>
        <w:ind w:firstLine="420" w:firstLineChars="200"/>
        <w:jc w:val="both"/>
        <w:rPr>
          <w:rFonts w:ascii="Times New Roman" w:hAnsi="Times New Roman" w:eastAsia="宋体" w:cs="Times New Roman"/>
          <w:color w:val="000000"/>
          <w:kern w:val="2"/>
          <w:sz w:val="21"/>
          <w:szCs w:val="21"/>
          <w:lang w:eastAsia="zh-CN"/>
        </w:rPr>
      </w:pPr>
      <w:r>
        <w:rPr>
          <w:rFonts w:ascii="Times New Roman" w:hAnsi="Times New Roman" w:eastAsia="宋体" w:cs="Times New Roman"/>
          <w:color w:val="000000"/>
          <w:kern w:val="2"/>
          <w:sz w:val="21"/>
          <w:szCs w:val="21"/>
          <w:lang w:eastAsia="zh-CN"/>
        </w:rPr>
        <w:t>若被检产品明示的质量要求缺少本细则中检验项目依据的推荐性标准要求时，该项目不参与判定。</w:t>
      </w: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403A4968-D0C5-4A76-BEB6-A20BB234B16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embedRegular r:id="rId2" w:fontKey="{78D1AA0E-AF30-4572-8115-C4F31AF51AA6}"/>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方正小标宋简体">
    <w:panose1 w:val="02000000000000000000"/>
    <w:charset w:val="86"/>
    <w:family w:val="auto"/>
    <w:pitch w:val="default"/>
    <w:sig w:usb0="00000001" w:usb1="080E0000" w:usb2="00000000" w:usb3="00000000" w:csb0="00040000" w:csb1="00000000"/>
    <w:embedRegular r:id="rId3" w:fontKey="{77B33497-2301-416D-BDF6-BB33C6ACC31B}"/>
  </w:font>
  <w:font w:name="ＭＳ 明朝">
    <w:altName w:val="Segoe Print"/>
    <w:panose1 w:val="00000000000000000000"/>
    <w:charset w:val="00"/>
    <w:family w:val="auto"/>
    <w:pitch w:val="default"/>
    <w:sig w:usb0="00000000" w:usb1="00000000" w:usb2="00000000" w:usb3="00000000" w:csb0="00000000" w:csb1="00000000"/>
    <w:embedRegular r:id="rId4" w:fontKey="{65EB49CE-A8A6-4872-BC37-72E7DC86F8E7}"/>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embedRegular r:id="rId5" w:fontKey="{B268D267-E834-4DE0-A533-0477521C74CB}"/>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trackRevisions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1145609"/>
    <w:rsid w:val="01225F6B"/>
    <w:rsid w:val="065B7836"/>
    <w:rsid w:val="0FF3288D"/>
    <w:rsid w:val="11015B72"/>
    <w:rsid w:val="15A05265"/>
    <w:rsid w:val="1CAA49F4"/>
    <w:rsid w:val="215C64E4"/>
    <w:rsid w:val="279F0214"/>
    <w:rsid w:val="29312005"/>
    <w:rsid w:val="2AC85DDE"/>
    <w:rsid w:val="2C371498"/>
    <w:rsid w:val="2DBD3414"/>
    <w:rsid w:val="4193642F"/>
    <w:rsid w:val="45C5024D"/>
    <w:rsid w:val="4A963F66"/>
    <w:rsid w:val="5A186745"/>
    <w:rsid w:val="688C20DF"/>
    <w:rsid w:val="69BE142D"/>
    <w:rsid w:val="6CC56897"/>
    <w:rsid w:val="70143F39"/>
    <w:rsid w:val="702D4866"/>
    <w:rsid w:val="795A04DE"/>
    <w:rsid w:val="7F9F4FAA"/>
    <w:rsid w:val="7FDC6FB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宋体" w:hAnsi="宋体" w:eastAsia="宋体" w:cstheme="minorBidi"/>
      <w:sz w:val="28"/>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1007</Words>
  <Characters>1614</Characters>
  <Lines>0</Lines>
  <Paragraphs>0</Paragraphs>
  <TotalTime>0</TotalTime>
  <ScaleCrop>false</ScaleCrop>
  <LinksUpToDate>false</LinksUpToDate>
  <CharactersWithSpaces>1671</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zw</cp:lastModifiedBy>
  <dcterms:modified xsi:type="dcterms:W3CDTF">2026-07-02T02:00:43Z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eyJoZGlkIjoiYjU4YTEyOWI0YTA1NzExMDUyM2E4NzRjZjM1MmQ2OWEiLCJ1c2VySWQiOiIxMTI2NTcyODI0In0=</vt:lpwstr>
  </property>
  <property fmtid="{D5CDD505-2E9C-101B-9397-08002B2CF9AE}" pid="3" name="KSOProductBuildVer">
    <vt:lpwstr>2052-12.1.0.23122</vt:lpwstr>
  </property>
  <property fmtid="{D5CDD505-2E9C-101B-9397-08002B2CF9AE}" pid="4" name="ICV">
    <vt:lpwstr>8199926126F64AD3946CEF1321C126B0_13</vt:lpwstr>
  </property>
</Properties>
</file>